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2" w:rsidRPr="00955414" w:rsidRDefault="00A85863" w:rsidP="00955414">
      <w:pPr>
        <w:jc w:val="center"/>
        <w:rPr>
          <w:sz w:val="28"/>
          <w:szCs w:val="28"/>
        </w:rPr>
      </w:pPr>
      <w:r w:rsidRPr="00955414">
        <w:rPr>
          <w:rFonts w:hint="eastAsia"/>
          <w:sz w:val="28"/>
          <w:szCs w:val="28"/>
        </w:rPr>
        <w:t>致理技術學院行銷與流通管理系畢業門檻一覽表</w:t>
      </w:r>
      <w:r w:rsidR="004F1650">
        <w:rPr>
          <w:rFonts w:hint="eastAsia"/>
          <w:sz w:val="28"/>
          <w:szCs w:val="28"/>
        </w:rPr>
        <w:t>(</w:t>
      </w:r>
      <w:r w:rsidR="004F1650">
        <w:rPr>
          <w:rFonts w:hint="eastAsia"/>
          <w:sz w:val="28"/>
          <w:szCs w:val="28"/>
        </w:rPr>
        <w:t>日四技</w:t>
      </w:r>
      <w:r w:rsidR="004F1650">
        <w:rPr>
          <w:rFonts w:hint="eastAsia"/>
          <w:sz w:val="28"/>
          <w:szCs w:val="28"/>
        </w:rPr>
        <w:t>)</w:t>
      </w:r>
    </w:p>
    <w:tbl>
      <w:tblPr>
        <w:tblStyle w:val="a3"/>
        <w:tblW w:w="15452" w:type="dxa"/>
        <w:tblInd w:w="-885" w:type="dxa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276"/>
        <w:gridCol w:w="1275"/>
        <w:gridCol w:w="1366"/>
        <w:gridCol w:w="1328"/>
        <w:gridCol w:w="6662"/>
      </w:tblGrid>
      <w:tr w:rsidR="00A85863" w:rsidRPr="00F07053" w:rsidTr="00A87DDF">
        <w:trPr>
          <w:tblHeader/>
        </w:trPr>
        <w:tc>
          <w:tcPr>
            <w:tcW w:w="993" w:type="dxa"/>
            <w:vAlign w:val="center"/>
          </w:tcPr>
          <w:p w:rsidR="00FF1F07" w:rsidRDefault="00FF1F07" w:rsidP="00FF1F07">
            <w:pPr>
              <w:jc w:val="center"/>
              <w:rPr>
                <w:rFonts w:ascii="Times New Roman" w:eastAsiaTheme="majorEastAsia" w:hAnsiTheme="majorEastAsia" w:cs="Times New Roman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szCs w:val="24"/>
              </w:rPr>
              <w:t>入學</w:t>
            </w:r>
          </w:p>
          <w:p w:rsidR="00FF1F07" w:rsidRPr="00F07053" w:rsidRDefault="00A85863" w:rsidP="00FF1F0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學年度</w:t>
            </w:r>
          </w:p>
        </w:tc>
        <w:tc>
          <w:tcPr>
            <w:tcW w:w="1276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實務專題</w:t>
            </w:r>
          </w:p>
        </w:tc>
        <w:tc>
          <w:tcPr>
            <w:tcW w:w="1276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英語能力檢定</w:t>
            </w:r>
          </w:p>
        </w:tc>
        <w:tc>
          <w:tcPr>
            <w:tcW w:w="1276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專業能力檢定</w:t>
            </w:r>
          </w:p>
        </w:tc>
        <w:tc>
          <w:tcPr>
            <w:tcW w:w="1275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資訊能力檢定</w:t>
            </w:r>
          </w:p>
        </w:tc>
        <w:tc>
          <w:tcPr>
            <w:tcW w:w="1366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跨領域學分學程或一門本系課程模組</w:t>
            </w:r>
          </w:p>
        </w:tc>
        <w:tc>
          <w:tcPr>
            <w:tcW w:w="1328" w:type="dxa"/>
            <w:vAlign w:val="center"/>
          </w:tcPr>
          <w:p w:rsidR="00A85863" w:rsidRPr="00F07053" w:rsidRDefault="00A8586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</w:p>
        </w:tc>
        <w:tc>
          <w:tcPr>
            <w:tcW w:w="6662" w:type="dxa"/>
            <w:vAlign w:val="center"/>
          </w:tcPr>
          <w:p w:rsidR="00681A7F" w:rsidRPr="00A87DDF" w:rsidRDefault="00F07053" w:rsidP="007E0335">
            <w:pPr>
              <w:pStyle w:val="ab"/>
              <w:rPr>
                <w:rFonts w:asciiTheme="majorEastAsia"/>
                <w:b/>
                <w:color w:val="FF0000"/>
              </w:rPr>
            </w:pPr>
            <w:r w:rsidRPr="00F07053">
              <w:t>備註</w:t>
            </w:r>
          </w:p>
        </w:tc>
        <w:bookmarkStart w:id="0" w:name="_GoBack"/>
        <w:bookmarkEnd w:id="0"/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681A7F" w:rsidRPr="00681A7F" w:rsidRDefault="00F07053" w:rsidP="00681A7F">
            <w:pPr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流通服務業實習、進階實務實習、就業接軌實習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課程畢業學分最多認列</w:t>
            </w:r>
            <w:r w:rsidRPr="00681A7F">
              <w:rPr>
                <w:rFonts w:ascii="Times New Roman" w:eastAsiaTheme="majorEastAsia" w:hAnsi="Times New Roman" w:cs="Times New Roman"/>
                <w:b/>
                <w:bCs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</w:t>
            </w:r>
            <w:r w:rsidR="00681A7F"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F07053" w:rsidRPr="00681A7F" w:rsidRDefault="00F07053" w:rsidP="00681A7F">
            <w:pPr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專業實習、進階實務實習、就業接軌實習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課程畢業學分最多認列</w:t>
            </w:r>
            <w:r w:rsidRPr="00681A7F">
              <w:rPr>
                <w:rFonts w:ascii="Times New Roman" w:eastAsiaTheme="majorEastAsia" w:hAnsi="Times New Roman" w:cs="Times New Roman"/>
                <w:b/>
                <w:bCs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</w:t>
            </w:r>
            <w:r w:rsidR="00681A7F"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F07053" w:rsidRPr="00681A7F" w:rsidRDefault="00F07053" w:rsidP="00681A7F">
            <w:pPr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專業實習、進階實務實習、就業接軌實習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課程畢業學分最多認列</w:t>
            </w:r>
            <w:r w:rsidRPr="00681A7F">
              <w:rPr>
                <w:rFonts w:ascii="Times New Roman" w:eastAsiaTheme="majorEastAsia" w:hAnsi="Times New Roman" w:cs="Times New Roman"/>
                <w:b/>
                <w:bCs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</w:t>
            </w:r>
            <w:r w:rsidR="00681A7F"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D35E6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5" w:type="dxa"/>
            <w:vAlign w:val="center"/>
          </w:tcPr>
          <w:p w:rsidR="00F07053" w:rsidRDefault="00F07053" w:rsidP="00F07053">
            <w:pPr>
              <w:jc w:val="center"/>
            </w:pPr>
            <w:r w:rsidRPr="002B41D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66" w:type="dxa"/>
            <w:vAlign w:val="center"/>
          </w:tcPr>
          <w:p w:rsidR="00F07053" w:rsidRDefault="00F07053" w:rsidP="00F07053">
            <w:pPr>
              <w:jc w:val="center"/>
            </w:pPr>
            <w:r w:rsidRPr="0056704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28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F07053" w:rsidRPr="00681A7F" w:rsidRDefault="00F07053" w:rsidP="00681A7F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專業實習、進階實務實習、就業接軌實習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課程畢業學分最多認列</w:t>
            </w:r>
            <w:r w:rsidRPr="00681A7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</w:t>
            </w:r>
            <w:r w:rsidR="00681A7F"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</w:p>
          <w:p w:rsidR="00681A7F" w:rsidRPr="00681A7F" w:rsidRDefault="00681A7F" w:rsidP="00681A7F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Theme="majorEastAsia" w:hAnsi="Times New Roman" w:cs="Times New Roman"/>
                <w:color w:val="FF0000"/>
                <w:szCs w:val="24"/>
              </w:rPr>
            </w:pPr>
            <w:r w:rsidRPr="00681A7F">
              <w:rPr>
                <w:rFonts w:ascii="Times New Roman" w:eastAsia="新細明體" w:hAnsi="新細明體" w:cs="Times New Roman"/>
                <w:szCs w:val="24"/>
              </w:rPr>
              <w:t>學生在學期間凡參加「歐洲語言學習、教學、評量共同參考架構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(CEF)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與教育部認列之證照種類對照表」其中一種英語檢定考試，並且符合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A2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級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含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以上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例如：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多益</w:t>
            </w:r>
            <w:proofErr w:type="gramEnd"/>
            <w:r w:rsidRPr="00681A7F">
              <w:rPr>
                <w:rFonts w:ascii="Times New Roman" w:eastAsia="新細明體" w:hAnsi="Times New Roman" w:cs="Times New Roman"/>
                <w:color w:val="FF0000"/>
                <w:szCs w:val="24"/>
              </w:rPr>
              <w:t>LISTENING 110~270</w:t>
            </w:r>
            <w:r w:rsidRPr="00681A7F">
              <w:rPr>
                <w:rFonts w:ascii="Times New Roman" w:eastAsia="新細明體" w:hAnsi="新細明體" w:cs="Times New Roman"/>
                <w:color w:val="1F497D"/>
                <w:szCs w:val="24"/>
              </w:rPr>
              <w:t>且</w:t>
            </w:r>
            <w:r w:rsidRPr="00681A7F">
              <w:rPr>
                <w:rFonts w:ascii="Times New Roman" w:eastAsia="新細明體" w:hAnsi="Times New Roman" w:cs="Times New Roman"/>
                <w:color w:val="FF0000"/>
                <w:szCs w:val="24"/>
              </w:rPr>
              <w:t>READING 115~495</w:t>
            </w:r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。</w:t>
            </w:r>
          </w:p>
          <w:p w:rsidR="00C708A9" w:rsidRPr="00681A7F" w:rsidRDefault="00681A7F" w:rsidP="00681A7F">
            <w:pPr>
              <w:ind w:leftChars="147" w:left="829" w:hangingChars="198" w:hanging="476"/>
              <w:jc w:val="both"/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註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  <w:t>：</w:t>
            </w:r>
            <w:r w:rsidR="00C708A9" w:rsidRPr="00681A7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99</w:t>
            </w:r>
            <w:r w:rsidR="00C708A9" w:rsidRPr="00681A7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級以後入學新生</w:t>
            </w:r>
            <w:proofErr w:type="gramStart"/>
            <w:r w:rsidR="00C708A9" w:rsidRPr="00681A7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應修目表學生</w:t>
            </w:r>
            <w:proofErr w:type="gramEnd"/>
            <w:r w:rsidR="00C708A9" w:rsidRPr="00681A7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英語能力通過標準不得以大學校院英語能力測驗</w:t>
            </w:r>
            <w:r w:rsidR="00C708A9" w:rsidRPr="00681A7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(CSEPT)</w:t>
            </w:r>
            <w:r w:rsidR="00C708A9" w:rsidRPr="00681A7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分級標準對照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D35E6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5" w:type="dxa"/>
            <w:vAlign w:val="center"/>
          </w:tcPr>
          <w:p w:rsidR="00F07053" w:rsidRDefault="00F07053" w:rsidP="00F07053">
            <w:pPr>
              <w:jc w:val="center"/>
            </w:pPr>
            <w:r w:rsidRPr="002B41D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66" w:type="dxa"/>
            <w:vAlign w:val="center"/>
          </w:tcPr>
          <w:p w:rsidR="00F07053" w:rsidRDefault="00F07053" w:rsidP="00F07053">
            <w:pPr>
              <w:jc w:val="center"/>
            </w:pPr>
            <w:r w:rsidRPr="0056704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28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F07053" w:rsidRPr="00681A7F" w:rsidRDefault="00F07053" w:rsidP="00681A7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專業實習、進階實務實習、就業接軌實習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課程畢業學分最多認列</w:t>
            </w:r>
            <w:r w:rsidRPr="00681A7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</w:t>
            </w:r>
          </w:p>
          <w:p w:rsidR="00A87DDF" w:rsidRPr="00A87DDF" w:rsidRDefault="00681A7F" w:rsidP="00A87DD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A87DDF">
              <w:rPr>
                <w:rFonts w:ascii="Times New Roman" w:eastAsia="新細明體" w:hAnsi="新細明體" w:cs="Times New Roman"/>
                <w:szCs w:val="24"/>
              </w:rPr>
              <w:t>學生在學期間凡參加「歐洲語言學習、教學、評量共同參考架構</w:t>
            </w:r>
            <w:r w:rsidRPr="00A87DDF">
              <w:rPr>
                <w:rFonts w:ascii="Times New Roman" w:eastAsia="新細明體" w:hAnsi="Times New Roman" w:cs="Times New Roman"/>
                <w:szCs w:val="24"/>
              </w:rPr>
              <w:t>(CEF)</w:t>
            </w:r>
            <w:r w:rsidRPr="00A87DDF">
              <w:rPr>
                <w:rFonts w:ascii="Times New Roman" w:eastAsia="新細明體" w:hAnsi="新細明體" w:cs="Times New Roman"/>
                <w:szCs w:val="24"/>
              </w:rPr>
              <w:t>與教育部認列之證照種類對照表」其中一種英語檢定考試，並且符合</w:t>
            </w:r>
            <w:r w:rsidRPr="00A87DDF">
              <w:rPr>
                <w:rFonts w:ascii="Times New Roman" w:eastAsia="新細明體" w:hAnsi="Times New Roman" w:cs="Times New Roman"/>
                <w:szCs w:val="24"/>
              </w:rPr>
              <w:t>A2</w:t>
            </w:r>
            <w:r w:rsidRPr="00A87DDF">
              <w:rPr>
                <w:rFonts w:ascii="Times New Roman" w:eastAsia="新細明體" w:hAnsi="新細明體" w:cs="Times New Roman"/>
                <w:szCs w:val="24"/>
              </w:rPr>
              <w:t>級</w:t>
            </w:r>
            <w:r w:rsidRPr="00A87DD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A87DDF">
              <w:rPr>
                <w:rFonts w:ascii="Times New Roman" w:eastAsia="新細明體" w:hAnsi="新細明體" w:cs="Times New Roman"/>
                <w:szCs w:val="24"/>
              </w:rPr>
              <w:t>含</w:t>
            </w:r>
            <w:r w:rsidRPr="00A87DDF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A87DDF">
              <w:rPr>
                <w:rFonts w:ascii="Times New Roman" w:eastAsia="新細明體" w:hAnsi="新細明體" w:cs="Times New Roman"/>
                <w:szCs w:val="24"/>
              </w:rPr>
              <w:t>以上</w:t>
            </w:r>
            <w:r w:rsidRPr="00A87DD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  <w:r w:rsidRPr="00A87DD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例如：</w:t>
            </w:r>
            <w:proofErr w:type="gramStart"/>
            <w:r w:rsidRPr="00A87DD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多益</w:t>
            </w:r>
            <w:proofErr w:type="gramEnd"/>
            <w:r w:rsidRPr="00A87DDF">
              <w:rPr>
                <w:rFonts w:ascii="Times New Roman" w:eastAsia="新細明體" w:hAnsi="Times New Roman" w:cs="Times New Roman"/>
                <w:color w:val="FF0000"/>
                <w:szCs w:val="24"/>
              </w:rPr>
              <w:t>LISTENING 110~270</w:t>
            </w:r>
            <w:r w:rsidRPr="00A87DDF">
              <w:rPr>
                <w:rFonts w:ascii="Times New Roman" w:eastAsia="新細明體" w:hAnsi="新細明體" w:cs="Times New Roman"/>
                <w:color w:val="1F497D"/>
                <w:szCs w:val="24"/>
              </w:rPr>
              <w:t>且</w:t>
            </w:r>
            <w:r w:rsidRPr="00A87DDF">
              <w:rPr>
                <w:rFonts w:ascii="Times New Roman" w:eastAsia="新細明體" w:hAnsi="Times New Roman" w:cs="Times New Roman"/>
                <w:color w:val="FF0000"/>
                <w:szCs w:val="24"/>
              </w:rPr>
              <w:t>READING 115~495</w:t>
            </w:r>
            <w:r w:rsidRPr="00A87DD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。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lastRenderedPageBreak/>
              <w:t>101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D35E6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5" w:type="dxa"/>
            <w:vAlign w:val="center"/>
          </w:tcPr>
          <w:p w:rsidR="00F07053" w:rsidRDefault="00F07053" w:rsidP="00F07053">
            <w:pPr>
              <w:jc w:val="center"/>
            </w:pPr>
            <w:r w:rsidRPr="002B41D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66" w:type="dxa"/>
            <w:vAlign w:val="center"/>
          </w:tcPr>
          <w:p w:rsidR="00F07053" w:rsidRDefault="00F07053" w:rsidP="00F07053">
            <w:pPr>
              <w:jc w:val="center"/>
            </w:pPr>
            <w:r w:rsidRPr="0056704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28" w:type="dxa"/>
            <w:vAlign w:val="center"/>
          </w:tcPr>
          <w:p w:rsidR="00F07053" w:rsidRDefault="00F07053" w:rsidP="00F07053">
            <w:pPr>
              <w:jc w:val="center"/>
            </w:pPr>
            <w:r w:rsidRPr="0092456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6662" w:type="dxa"/>
          </w:tcPr>
          <w:p w:rsidR="00681A7F" w:rsidRPr="00681A7F" w:rsidRDefault="00F07053" w:rsidP="00681A7F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校外實習為本系必修課程，本課程可以修習「專業實習」或「進階實務實習」或「就業接軌實習」之任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一</w:t>
            </w:r>
            <w:proofErr w:type="gramEnd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課程，得申請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認列本課程</w:t>
            </w:r>
            <w:proofErr w:type="gramEnd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。校外實習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「專業實習」、「進階實務實習」、「就業接軌實習」</w:t>
            </w:r>
            <w:r w:rsidRPr="00681A7F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畢業學分最多認列選修</w:t>
            </w:r>
            <w:r w:rsidRPr="00681A7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6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學分。領有身心障礙手冊之學生得申請免修校外實習必修課程。</w:t>
            </w:r>
          </w:p>
          <w:p w:rsidR="00681A7F" w:rsidRPr="00681A7F" w:rsidRDefault="00681A7F" w:rsidP="00681A7F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681A7F">
              <w:rPr>
                <w:rFonts w:ascii="Times New Roman" w:eastAsia="新細明體" w:hAnsi="新細明體" w:cs="Times New Roman"/>
                <w:szCs w:val="24"/>
              </w:rPr>
              <w:t>學生在學期間凡參加「歐洲語言學習、教學、評量共同參考架構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(CEF)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與教育部認列之證照種類對照表」其中一種英語檢定考試，並且符合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A2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級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含</w:t>
            </w:r>
            <w:r w:rsidRPr="00681A7F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681A7F">
              <w:rPr>
                <w:rFonts w:ascii="Times New Roman" w:eastAsia="新細明體" w:hAnsi="新細明體" w:cs="Times New Roman"/>
                <w:szCs w:val="24"/>
              </w:rPr>
              <w:t>以上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例如：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  <w:u w:val="single"/>
              </w:rPr>
              <w:t>多益</w:t>
            </w:r>
            <w:proofErr w:type="gramEnd"/>
            <w:r w:rsidRPr="00681A7F">
              <w:rPr>
                <w:rFonts w:ascii="Times New Roman" w:eastAsia="新細明體" w:hAnsi="Times New Roman" w:cs="Times New Roman"/>
                <w:color w:val="FF0000"/>
                <w:szCs w:val="24"/>
              </w:rPr>
              <w:t>LISTENING 110~270</w:t>
            </w:r>
            <w:r w:rsidRPr="00681A7F">
              <w:rPr>
                <w:rFonts w:ascii="Times New Roman" w:eastAsia="新細明體" w:hAnsi="新細明體" w:cs="Times New Roman"/>
                <w:color w:val="4F81BD"/>
                <w:szCs w:val="24"/>
              </w:rPr>
              <w:t>且</w:t>
            </w:r>
            <w:r w:rsidRPr="00681A7F">
              <w:rPr>
                <w:rFonts w:ascii="Times New Roman" w:eastAsia="新細明體" w:hAnsi="Times New Roman" w:cs="Times New Roman"/>
                <w:color w:val="FF0000"/>
                <w:szCs w:val="24"/>
              </w:rPr>
              <w:t>READING 115~495</w:t>
            </w:r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。</w:t>
            </w:r>
          </w:p>
        </w:tc>
      </w:tr>
      <w:tr w:rsidR="00F07053" w:rsidRPr="00F07053" w:rsidTr="00F07053">
        <w:tc>
          <w:tcPr>
            <w:tcW w:w="993" w:type="dxa"/>
            <w:vAlign w:val="center"/>
          </w:tcPr>
          <w:p w:rsidR="00F07053" w:rsidRPr="00F07053" w:rsidRDefault="00F07053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07053">
              <w:rPr>
                <w:rFonts w:ascii="Times New Roman" w:eastAsiaTheme="majorEastAsia" w:hAnsi="Times New Roman" w:cs="Times New Roman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  <w:p w:rsidR="00A87DDF" w:rsidRPr="00A87DDF" w:rsidRDefault="00A87DDF" w:rsidP="00A87DDF">
            <w:pPr>
              <w:jc w:val="center"/>
              <w:rPr>
                <w:sz w:val="20"/>
                <w:szCs w:val="20"/>
              </w:rPr>
            </w:pPr>
            <w:r w:rsidRPr="00A87D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門檻重大改變，例如：</w:t>
            </w:r>
            <w:proofErr w:type="gramStart"/>
            <w:r w:rsidRPr="00A87D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多益</w:t>
            </w:r>
            <w:proofErr w:type="gramEnd"/>
            <w:r w:rsidRPr="00A87DDF">
              <w:rPr>
                <w:rFonts w:ascii="Times New Roman" w:eastAsiaTheme="majorEastAsia" w:hAnsi="Times New Roman" w:cs="Times New Roman"/>
                <w:b/>
                <w:color w:val="FF0000"/>
                <w:sz w:val="20"/>
                <w:szCs w:val="20"/>
              </w:rPr>
              <w:t>350-545</w:t>
            </w:r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:rsidR="00F07053" w:rsidRDefault="00F07053" w:rsidP="00F07053">
            <w:pPr>
              <w:jc w:val="center"/>
            </w:pPr>
            <w:r w:rsidRPr="00D35E6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5" w:type="dxa"/>
            <w:vAlign w:val="center"/>
          </w:tcPr>
          <w:p w:rsidR="00F07053" w:rsidRDefault="00F07053" w:rsidP="00F07053">
            <w:pPr>
              <w:jc w:val="center"/>
            </w:pPr>
            <w:r w:rsidRPr="002B41D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66" w:type="dxa"/>
            <w:vAlign w:val="center"/>
          </w:tcPr>
          <w:p w:rsidR="00F07053" w:rsidRDefault="00F07053" w:rsidP="00F07053">
            <w:pPr>
              <w:jc w:val="center"/>
            </w:pPr>
            <w:r w:rsidRPr="0056704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28" w:type="dxa"/>
            <w:vAlign w:val="center"/>
          </w:tcPr>
          <w:p w:rsidR="00F07053" w:rsidRDefault="00F07053" w:rsidP="00F07053">
            <w:pPr>
              <w:jc w:val="center"/>
            </w:pPr>
            <w:r w:rsidRPr="0092456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6662" w:type="dxa"/>
          </w:tcPr>
          <w:p w:rsidR="00262646" w:rsidRPr="00262646" w:rsidRDefault="00262646" w:rsidP="00681A7F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Theme="majorEastAsia" w:hAnsi="Times New Roman" w:cs="Times New Roman" w:hint="eastAsia"/>
                <w:b/>
                <w:color w:val="FF0000"/>
                <w:szCs w:val="24"/>
              </w:rPr>
            </w:pPr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校外實習為本系必修課程，本課程可以修習「專業實習」或「進階實務實習」或「就業接軌實習」之任</w:t>
            </w:r>
            <w:proofErr w:type="gramStart"/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一</w:t>
            </w:r>
            <w:proofErr w:type="gramEnd"/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課程，得申請</w:t>
            </w:r>
            <w:proofErr w:type="gramStart"/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認列本課程</w:t>
            </w:r>
            <w:proofErr w:type="gramEnd"/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。校外實習</w:t>
            </w:r>
            <w:r w:rsidRPr="00262646">
              <w:rPr>
                <w:rFonts w:ascii="Times New Roman" w:eastAsiaTheme="majorEastAsia" w:hAnsi="Times New Roman" w:cs="Times New Roman"/>
                <w:b/>
                <w:szCs w:val="24"/>
              </w:rPr>
              <w:t>(</w:t>
            </w:r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「專業實習」、「進階實務實習」、「就業接軌實習」</w:t>
            </w:r>
            <w:r w:rsidRPr="00262646">
              <w:rPr>
                <w:rFonts w:ascii="Times New Roman" w:eastAsiaTheme="majorEastAsia" w:hAnsi="Times New Roman" w:cs="Times New Roman"/>
                <w:b/>
                <w:szCs w:val="24"/>
              </w:rPr>
              <w:t>)</w:t>
            </w:r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畢業學分最多認列選修</w:t>
            </w:r>
            <w:r w:rsidRPr="00262646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6</w:t>
            </w:r>
            <w:r w:rsidRPr="00262646">
              <w:rPr>
                <w:rFonts w:ascii="Times New Roman" w:eastAsiaTheme="majorEastAsia" w:hAnsiTheme="majorEastAsia" w:cs="Times New Roman"/>
                <w:b/>
                <w:szCs w:val="24"/>
              </w:rPr>
              <w:t>學分。領有身心障礙手冊之學生得申請免修校外實習必修課程。</w:t>
            </w:r>
          </w:p>
          <w:p w:rsidR="001111FE" w:rsidRPr="00262646" w:rsidRDefault="00681A7F" w:rsidP="00681A7F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Theme="majorEastAsia" w:hAnsi="Times New Roman" w:cs="Times New Roman"/>
                <w:color w:val="FF0000"/>
                <w:szCs w:val="24"/>
              </w:rPr>
            </w:pPr>
            <w:r w:rsidRPr="00262646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學生在學期間凡參加下列其中一種英語能力檢定考試，並且成績達下列歐洲語言學習、教學、評量共同參考架構</w:t>
            </w:r>
            <w:proofErr w:type="gramStart"/>
            <w:r w:rsidRPr="00262646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（</w:t>
            </w:r>
            <w:proofErr w:type="gramEnd"/>
            <w:r w:rsidRPr="00262646">
              <w:rPr>
                <w:rFonts w:ascii="Times New Roman" w:eastAsiaTheme="majorEastAsia" w:hAnsi="Times New Roman" w:cs="Times New Roman"/>
                <w:color w:val="FF0000"/>
                <w:szCs w:val="24"/>
              </w:rPr>
              <w:t xml:space="preserve">CEF; </w:t>
            </w:r>
            <w:r w:rsidRPr="00262646">
              <w:rPr>
                <w:rFonts w:ascii="Times New Roman" w:eastAsiaTheme="majorEastAsia" w:hAnsi="Times New Roman" w:cs="Times New Roman"/>
                <w:bCs/>
                <w:color w:val="FF0000"/>
                <w:szCs w:val="24"/>
              </w:rPr>
              <w:t>Common European Framework of Reference for Languages: Learning, Teaching, and Assessment</w:t>
            </w:r>
            <w:proofErr w:type="gramStart"/>
            <w:r w:rsidRPr="00262646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）</w:t>
            </w:r>
            <w:proofErr w:type="gramEnd"/>
            <w:r w:rsidRPr="00262646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，</w:t>
            </w:r>
            <w:r w:rsidRPr="00262646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並且符合</w:t>
            </w:r>
            <w:r w:rsidRPr="00262646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A2</w:t>
            </w:r>
            <w:r w:rsidRPr="00262646">
              <w:rPr>
                <w:rFonts w:ascii="Times New Roman" w:eastAsiaTheme="majorEastAsia" w:hAnsi="Times New Roman" w:cs="Times New Roman"/>
                <w:b/>
                <w:color w:val="FF0000"/>
                <w:szCs w:val="24"/>
                <w:vertAlign w:val="superscript"/>
              </w:rPr>
              <w:t>+</w:t>
            </w:r>
            <w:r w:rsidRPr="00262646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（普級）以上成績標準。例如：</w:t>
            </w:r>
            <w:proofErr w:type="gramStart"/>
            <w:r w:rsidRPr="00262646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多益</w:t>
            </w:r>
            <w:proofErr w:type="gramEnd"/>
            <w:r w:rsidRPr="00262646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350-545</w:t>
            </w:r>
            <w:r w:rsidRPr="00262646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分。</w:t>
            </w:r>
          </w:p>
          <w:p w:rsidR="00415B94" w:rsidRDefault="00415B94" w:rsidP="00415B94">
            <w:pPr>
              <w:jc w:val="both"/>
              <w:rPr>
                <w:rFonts w:ascii="Times New Roman" w:eastAsiaTheme="majorEastAsia" w:hAnsi="Times New Roman" w:cs="Times New Roman"/>
                <w:color w:val="FF0000"/>
                <w:szCs w:val="24"/>
              </w:rPr>
            </w:pPr>
          </w:p>
          <w:p w:rsidR="00415B94" w:rsidRDefault="00415B94" w:rsidP="00415B94">
            <w:pPr>
              <w:jc w:val="both"/>
              <w:rPr>
                <w:rFonts w:ascii="Times New Roman" w:eastAsiaTheme="majorEastAsia" w:hAnsi="Times New Roman" w:cs="Times New Roman"/>
                <w:color w:val="FF0000"/>
                <w:szCs w:val="24"/>
              </w:rPr>
            </w:pPr>
          </w:p>
          <w:p w:rsidR="00415B94" w:rsidRPr="00415B94" w:rsidRDefault="00415B94" w:rsidP="00415B94">
            <w:pPr>
              <w:jc w:val="both"/>
              <w:rPr>
                <w:rFonts w:ascii="Times New Roman" w:eastAsiaTheme="majorEastAsia" w:hAnsi="Times New Roman" w:cs="Times New Roman"/>
                <w:color w:val="FF0000"/>
                <w:szCs w:val="24"/>
              </w:rPr>
            </w:pPr>
          </w:p>
        </w:tc>
      </w:tr>
      <w:tr w:rsidR="00415B94" w:rsidRPr="00F07053" w:rsidTr="00F07053">
        <w:tc>
          <w:tcPr>
            <w:tcW w:w="993" w:type="dxa"/>
            <w:vAlign w:val="center"/>
          </w:tcPr>
          <w:p w:rsidR="00415B94" w:rsidRPr="00F07053" w:rsidRDefault="00415B94" w:rsidP="00F0705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lastRenderedPageBreak/>
              <w:t>103</w:t>
            </w:r>
          </w:p>
        </w:tc>
        <w:tc>
          <w:tcPr>
            <w:tcW w:w="1276" w:type="dxa"/>
            <w:vAlign w:val="center"/>
          </w:tcPr>
          <w:p w:rsidR="00415B94" w:rsidRDefault="00415B94" w:rsidP="005C5633">
            <w:pPr>
              <w:jc w:val="center"/>
            </w:pPr>
            <w:r w:rsidRPr="00362AE7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6" w:type="dxa"/>
            <w:vAlign w:val="center"/>
          </w:tcPr>
          <w:p w:rsidR="00415B94" w:rsidRDefault="00415B94" w:rsidP="005C563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02A19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  <w:p w:rsidR="00415B94" w:rsidRPr="00A87DDF" w:rsidRDefault="00415B94" w:rsidP="005C5633">
            <w:pPr>
              <w:jc w:val="center"/>
              <w:rPr>
                <w:sz w:val="20"/>
                <w:szCs w:val="20"/>
              </w:rPr>
            </w:pPr>
            <w:r w:rsidRPr="00A87D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門檻重大改變，例如：</w:t>
            </w:r>
            <w:proofErr w:type="gramStart"/>
            <w:r w:rsidRPr="00A87D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多益</w:t>
            </w:r>
            <w:proofErr w:type="gramEnd"/>
            <w:r w:rsidRPr="00A87DDF">
              <w:rPr>
                <w:rFonts w:ascii="Times New Roman" w:eastAsiaTheme="majorEastAsia" w:hAnsi="Times New Roman" w:cs="Times New Roman"/>
                <w:b/>
                <w:color w:val="FF0000"/>
                <w:sz w:val="20"/>
                <w:szCs w:val="20"/>
              </w:rPr>
              <w:t>350-545</w:t>
            </w:r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:rsidR="00415B94" w:rsidRDefault="00415B94" w:rsidP="005C5633">
            <w:pPr>
              <w:jc w:val="center"/>
            </w:pPr>
            <w:r w:rsidRPr="00D35E6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275" w:type="dxa"/>
            <w:vAlign w:val="center"/>
          </w:tcPr>
          <w:p w:rsidR="00415B94" w:rsidRDefault="00415B94" w:rsidP="005C5633">
            <w:pPr>
              <w:jc w:val="center"/>
            </w:pPr>
            <w:r w:rsidRPr="002B41D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66" w:type="dxa"/>
            <w:vAlign w:val="center"/>
          </w:tcPr>
          <w:p w:rsidR="00415B94" w:rsidRDefault="00415B94" w:rsidP="005C5633">
            <w:pPr>
              <w:jc w:val="center"/>
            </w:pPr>
            <w:r w:rsidRPr="00567040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1328" w:type="dxa"/>
            <w:vAlign w:val="center"/>
          </w:tcPr>
          <w:p w:rsidR="00415B94" w:rsidRDefault="00415B94" w:rsidP="005C5633">
            <w:pPr>
              <w:jc w:val="center"/>
            </w:pPr>
            <w:r w:rsidRPr="0092456C">
              <w:rPr>
                <w:rFonts w:asciiTheme="majorEastAsia" w:eastAsiaTheme="majorEastAsia" w:hAnsiTheme="majorEastAsia" w:cs="Times New Roman" w:hint="eastAsia"/>
                <w:szCs w:val="24"/>
              </w:rPr>
              <w:t>■</w:t>
            </w:r>
          </w:p>
        </w:tc>
        <w:tc>
          <w:tcPr>
            <w:tcW w:w="6662" w:type="dxa"/>
          </w:tcPr>
          <w:p w:rsidR="00415B94" w:rsidRPr="00415B94" w:rsidRDefault="00415B94" w:rsidP="00415B94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szCs w:val="24"/>
              </w:rPr>
              <w:t>「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校外實習</w:t>
            </w:r>
            <w:r>
              <w:rPr>
                <w:rFonts w:ascii="Times New Roman" w:eastAsiaTheme="majorEastAsia" w:hAnsiTheme="majorEastAsia" w:cs="Times New Roman" w:hint="eastAsia"/>
                <w:szCs w:val="24"/>
              </w:rPr>
              <w:t>」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為本系必修課程，本課程可以修習「專業實習」或「進階實務實習」或「就業接軌實習」之任一</w:t>
            </w:r>
            <w:r>
              <w:rPr>
                <w:rFonts w:ascii="Times New Roman" w:eastAsiaTheme="majorEastAsia" w:hAnsiTheme="majorEastAsia" w:cs="Times New Roman" w:hint="eastAsia"/>
                <w:szCs w:val="24"/>
              </w:rPr>
              <w:t>門</w:t>
            </w:r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課程，得申請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認列本課程</w:t>
            </w:r>
            <w:proofErr w:type="gramEnd"/>
            <w:r w:rsidRPr="00681A7F">
              <w:rPr>
                <w:rFonts w:ascii="Times New Roman" w:eastAsiaTheme="majorEastAsia" w:hAnsiTheme="majorEastAsia" w:cs="Times New Roman"/>
                <w:szCs w:val="24"/>
              </w:rPr>
              <w:t>。</w:t>
            </w:r>
          </w:p>
          <w:p w:rsidR="00415B94" w:rsidRPr="00681A7F" w:rsidRDefault="00415B94" w:rsidP="00415B94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校外實習【專業實習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(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暑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)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、進階實務實習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(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暑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)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、就業接軌實習】，本系畢業學分至多認列實習課程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6</w:t>
            </w:r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學分。領有身心障礙手冊之學生、陸生、外籍生及僑生得</w:t>
            </w:r>
            <w:proofErr w:type="gramStart"/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申請抵修本</w:t>
            </w:r>
            <w:proofErr w:type="gramEnd"/>
            <w:r w:rsidRPr="00415B94">
              <w:rPr>
                <w:rFonts w:ascii="Times New Roman" w:eastAsiaTheme="majorEastAsia" w:hAnsiTheme="majorEastAsia" w:cs="Times New Roman" w:hint="eastAsia"/>
                <w:szCs w:val="24"/>
              </w:rPr>
              <w:t>系校外實習必修課程。</w:t>
            </w:r>
          </w:p>
          <w:p w:rsidR="00415B94" w:rsidRPr="00681A7F" w:rsidRDefault="00415B94" w:rsidP="00415B94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Theme="majorEastAsia" w:hAnsiTheme="majorEastAsia" w:cs="Times New Roman"/>
                <w:bCs/>
                <w:szCs w:val="24"/>
              </w:rPr>
            </w:pPr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學生在學期間凡參加下列其中一種英語能力檢定考試，並且成績達下列歐洲語言學習、教學、評量共同參考架構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（</w:t>
            </w:r>
            <w:proofErr w:type="gramEnd"/>
            <w:r w:rsidRPr="00681A7F">
              <w:rPr>
                <w:rFonts w:ascii="Times New Roman" w:eastAsiaTheme="majorEastAsia" w:hAnsi="Times New Roman" w:cs="Times New Roman"/>
                <w:color w:val="FF0000"/>
                <w:szCs w:val="24"/>
              </w:rPr>
              <w:t xml:space="preserve">CEF; </w:t>
            </w:r>
            <w:r w:rsidRPr="00681A7F">
              <w:rPr>
                <w:rFonts w:ascii="Times New Roman" w:eastAsiaTheme="majorEastAsia" w:hAnsi="Times New Roman" w:cs="Times New Roman"/>
                <w:bCs/>
                <w:color w:val="FF0000"/>
                <w:szCs w:val="24"/>
              </w:rPr>
              <w:t>Common European Framework of Reference for Languages: Learning, Teaching, and Assessment</w:t>
            </w:r>
            <w:proofErr w:type="gramStart"/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）</w:t>
            </w:r>
            <w:proofErr w:type="gramEnd"/>
            <w:r w:rsidRPr="00681A7F">
              <w:rPr>
                <w:rFonts w:ascii="Times New Roman" w:eastAsiaTheme="majorEastAsia" w:hAnsiTheme="majorEastAsia" w:cs="Times New Roman"/>
                <w:color w:val="FF0000"/>
                <w:szCs w:val="24"/>
              </w:rPr>
              <w:t>，</w:t>
            </w:r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並且符合</w:t>
            </w:r>
            <w:r w:rsidRPr="00A87DD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A2</w:t>
            </w:r>
            <w:r w:rsidRPr="00A87DDF">
              <w:rPr>
                <w:rFonts w:ascii="Times New Roman" w:eastAsiaTheme="majorEastAsia" w:hAnsi="Times New Roman" w:cs="Times New Roman"/>
                <w:b/>
                <w:color w:val="FF0000"/>
                <w:szCs w:val="24"/>
                <w:vertAlign w:val="superscript"/>
              </w:rPr>
              <w:t>+</w:t>
            </w:r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（普級）以上成績標準。例如：</w:t>
            </w:r>
            <w:proofErr w:type="gramStart"/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多益</w:t>
            </w:r>
            <w:proofErr w:type="gramEnd"/>
            <w:r w:rsidRPr="00A87DDF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350-545</w:t>
            </w:r>
            <w:r w:rsidRPr="00A87DDF">
              <w:rPr>
                <w:rFonts w:ascii="Times New Roman" w:eastAsiaTheme="majorEastAsia" w:hAnsiTheme="majorEastAsia" w:cs="Times New Roman"/>
                <w:b/>
                <w:color w:val="FF0000"/>
                <w:szCs w:val="24"/>
              </w:rPr>
              <w:t>分。</w:t>
            </w:r>
          </w:p>
        </w:tc>
      </w:tr>
    </w:tbl>
    <w:p w:rsidR="00A85863" w:rsidRDefault="006A5838" w:rsidP="00415B94">
      <w:pPr>
        <w:spacing w:beforeLines="50" w:before="180"/>
        <w:rPr>
          <w:rFonts w:asciiTheme="majorEastAsia" w:eastAsiaTheme="majorEastAsia" w:hAnsiTheme="majorEastAsia" w:cs="Times New Roman"/>
          <w:szCs w:val="24"/>
        </w:rPr>
      </w:pPr>
      <w:r w:rsidRPr="00C02A19">
        <w:rPr>
          <w:rFonts w:asciiTheme="majorEastAsia" w:eastAsiaTheme="majorEastAsia" w:hAnsiTheme="majorEastAsia" w:cs="Times New Roman" w:hint="eastAsia"/>
          <w:szCs w:val="24"/>
        </w:rPr>
        <w:t>■</w:t>
      </w:r>
      <w:r>
        <w:rPr>
          <w:rFonts w:asciiTheme="majorEastAsia" w:eastAsiaTheme="majorEastAsia" w:hAnsiTheme="majorEastAsia" w:cs="Times New Roman" w:hint="eastAsia"/>
          <w:szCs w:val="24"/>
        </w:rPr>
        <w:t>：表示為畢業門檻</w:t>
      </w:r>
    </w:p>
    <w:p w:rsidR="00681A7F" w:rsidRPr="00A85863" w:rsidRDefault="00681A7F" w:rsidP="00DE5E13">
      <w:pPr>
        <w:spacing w:beforeLines="50" w:before="180"/>
      </w:pPr>
      <w:r w:rsidRPr="00362AE7">
        <w:rPr>
          <w:rFonts w:asciiTheme="majorEastAsia" w:eastAsiaTheme="majorEastAsia" w:hAnsiTheme="majorEastAsia" w:cs="Times New Roman" w:hint="eastAsia"/>
          <w:szCs w:val="24"/>
        </w:rPr>
        <w:t>■</w:t>
      </w:r>
      <w:r>
        <w:rPr>
          <w:rFonts w:asciiTheme="majorEastAsia" w:eastAsiaTheme="majorEastAsia" w:hAnsiTheme="majorEastAsia" w:cs="Times New Roman" w:hint="eastAsia"/>
          <w:szCs w:val="24"/>
        </w:rPr>
        <w:t>：</w:t>
      </w:r>
      <w:r w:rsidRPr="00F07053">
        <w:rPr>
          <w:rFonts w:ascii="Times New Roman" w:eastAsiaTheme="majorEastAsia" w:hAnsiTheme="majorEastAsia" w:cs="Times New Roman"/>
          <w:szCs w:val="24"/>
        </w:rPr>
        <w:t>英語能力檢定</w:t>
      </w:r>
      <w:r>
        <w:rPr>
          <w:rFonts w:ascii="Times New Roman" w:eastAsiaTheme="majorEastAsia" w:hAnsiTheme="majorEastAsia" w:cs="Times New Roman" w:hint="eastAsia"/>
          <w:szCs w:val="24"/>
        </w:rPr>
        <w:t>、</w:t>
      </w:r>
      <w:r w:rsidRPr="00F07053">
        <w:rPr>
          <w:rFonts w:ascii="Times New Roman" w:eastAsiaTheme="majorEastAsia" w:hAnsiTheme="majorEastAsia" w:cs="Times New Roman"/>
          <w:szCs w:val="24"/>
        </w:rPr>
        <w:t>專業能力檢定</w:t>
      </w:r>
      <w:r>
        <w:rPr>
          <w:rFonts w:ascii="Times New Roman" w:eastAsiaTheme="majorEastAsia" w:hAnsiTheme="majorEastAsia" w:cs="Times New Roman" w:hint="eastAsia"/>
          <w:szCs w:val="24"/>
        </w:rPr>
        <w:t>、</w:t>
      </w:r>
      <w:r w:rsidRPr="00F07053">
        <w:rPr>
          <w:rFonts w:ascii="Times New Roman" w:eastAsiaTheme="majorEastAsia" w:hAnsiTheme="majorEastAsia" w:cs="Times New Roman"/>
          <w:szCs w:val="24"/>
        </w:rPr>
        <w:t>資訊能力檢</w:t>
      </w:r>
      <w:r>
        <w:rPr>
          <w:rFonts w:ascii="Times New Roman" w:eastAsiaTheme="majorEastAsia" w:hAnsiTheme="majorEastAsia" w:cs="Times New Roman" w:hint="eastAsia"/>
          <w:szCs w:val="24"/>
        </w:rPr>
        <w:t>定所需具備之證照，請至本系網站法規辦法查詢。</w:t>
      </w:r>
    </w:p>
    <w:sectPr w:rsidR="00681A7F" w:rsidRPr="00A85863" w:rsidSect="00A87DDF">
      <w:pgSz w:w="16838" w:h="11906" w:orient="landscape"/>
      <w:pgMar w:top="851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5E" w:rsidRDefault="00C34F5E" w:rsidP="00C708A9">
      <w:r>
        <w:separator/>
      </w:r>
    </w:p>
  </w:endnote>
  <w:endnote w:type="continuationSeparator" w:id="0">
    <w:p w:rsidR="00C34F5E" w:rsidRDefault="00C34F5E" w:rsidP="00C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5E" w:rsidRDefault="00C34F5E" w:rsidP="00C708A9">
      <w:r>
        <w:separator/>
      </w:r>
    </w:p>
  </w:footnote>
  <w:footnote w:type="continuationSeparator" w:id="0">
    <w:p w:rsidR="00C34F5E" w:rsidRDefault="00C34F5E" w:rsidP="00C7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E7"/>
    <w:multiLevelType w:val="hybridMultilevel"/>
    <w:tmpl w:val="9460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D2BFF"/>
    <w:multiLevelType w:val="hybridMultilevel"/>
    <w:tmpl w:val="CF661A28"/>
    <w:lvl w:ilvl="0" w:tplc="082CE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E7287"/>
    <w:multiLevelType w:val="hybridMultilevel"/>
    <w:tmpl w:val="0B62E8F8"/>
    <w:lvl w:ilvl="0" w:tplc="89DC42B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86585"/>
    <w:multiLevelType w:val="hybridMultilevel"/>
    <w:tmpl w:val="0B62E8F8"/>
    <w:lvl w:ilvl="0" w:tplc="89DC42B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092CA9"/>
    <w:multiLevelType w:val="hybridMultilevel"/>
    <w:tmpl w:val="1F484D3A"/>
    <w:lvl w:ilvl="0" w:tplc="89DC42B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FC5842"/>
    <w:multiLevelType w:val="hybridMultilevel"/>
    <w:tmpl w:val="39782628"/>
    <w:lvl w:ilvl="0" w:tplc="89DC42B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F460F"/>
    <w:multiLevelType w:val="hybridMultilevel"/>
    <w:tmpl w:val="7DC2F722"/>
    <w:lvl w:ilvl="0" w:tplc="DCF8D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CF12CB"/>
    <w:multiLevelType w:val="hybridMultilevel"/>
    <w:tmpl w:val="3B28FF3E"/>
    <w:lvl w:ilvl="0" w:tplc="94B6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4A63A5"/>
    <w:multiLevelType w:val="hybridMultilevel"/>
    <w:tmpl w:val="2BB06FE0"/>
    <w:lvl w:ilvl="0" w:tplc="AD18D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E45042"/>
    <w:multiLevelType w:val="hybridMultilevel"/>
    <w:tmpl w:val="79DECF3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63"/>
    <w:rsid w:val="000620AD"/>
    <w:rsid w:val="001051F5"/>
    <w:rsid w:val="001111FE"/>
    <w:rsid w:val="00182378"/>
    <w:rsid w:val="00262646"/>
    <w:rsid w:val="002D2BEB"/>
    <w:rsid w:val="002F1B8E"/>
    <w:rsid w:val="003C36E8"/>
    <w:rsid w:val="00415B94"/>
    <w:rsid w:val="004F1650"/>
    <w:rsid w:val="0054794D"/>
    <w:rsid w:val="005C00C1"/>
    <w:rsid w:val="00612275"/>
    <w:rsid w:val="00671746"/>
    <w:rsid w:val="00681A7F"/>
    <w:rsid w:val="006A5838"/>
    <w:rsid w:val="006F1939"/>
    <w:rsid w:val="006F72D1"/>
    <w:rsid w:val="007E0335"/>
    <w:rsid w:val="00817F9F"/>
    <w:rsid w:val="00920A47"/>
    <w:rsid w:val="00955414"/>
    <w:rsid w:val="0099174C"/>
    <w:rsid w:val="009D5F81"/>
    <w:rsid w:val="00A85863"/>
    <w:rsid w:val="00A87DDF"/>
    <w:rsid w:val="00AD6CD5"/>
    <w:rsid w:val="00C34F5E"/>
    <w:rsid w:val="00C708A9"/>
    <w:rsid w:val="00CB2307"/>
    <w:rsid w:val="00D70DD9"/>
    <w:rsid w:val="00DE1CEA"/>
    <w:rsid w:val="00DE5E13"/>
    <w:rsid w:val="00ED1672"/>
    <w:rsid w:val="00F07053"/>
    <w:rsid w:val="00F46202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08A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08A9"/>
    <w:rPr>
      <w:sz w:val="20"/>
      <w:szCs w:val="20"/>
    </w:rPr>
  </w:style>
  <w:style w:type="paragraph" w:customStyle="1" w:styleId="a8">
    <w:name w:val="字元"/>
    <w:basedOn w:val="a"/>
    <w:rsid w:val="00C708A9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1111FE"/>
    <w:pPr>
      <w:ind w:leftChars="200" w:left="480"/>
    </w:pPr>
  </w:style>
  <w:style w:type="paragraph" w:customStyle="1" w:styleId="aa">
    <w:name w:val="字元"/>
    <w:basedOn w:val="a"/>
    <w:rsid w:val="00681A7F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681A7F"/>
    <w:pPr>
      <w:jc w:val="center"/>
    </w:pPr>
    <w:rPr>
      <w:rFonts w:ascii="Times New Roman" w:eastAsiaTheme="majorEastAsia" w:hAnsiTheme="majorEastAsia" w:cs="Times New Roman"/>
      <w:szCs w:val="24"/>
    </w:rPr>
  </w:style>
  <w:style w:type="character" w:customStyle="1" w:styleId="ac">
    <w:name w:val="註釋標題 字元"/>
    <w:basedOn w:val="a0"/>
    <w:link w:val="ab"/>
    <w:uiPriority w:val="99"/>
    <w:rsid w:val="00681A7F"/>
    <w:rPr>
      <w:rFonts w:ascii="Times New Roman" w:eastAsiaTheme="majorEastAsia" w:hAnsiTheme="maj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81A7F"/>
    <w:pPr>
      <w:ind w:leftChars="1800" w:left="100"/>
    </w:pPr>
    <w:rPr>
      <w:rFonts w:ascii="Times New Roman" w:eastAsiaTheme="majorEastAsia" w:hAnsiTheme="majorEastAsia" w:cs="Times New Roman"/>
      <w:szCs w:val="24"/>
    </w:rPr>
  </w:style>
  <w:style w:type="character" w:customStyle="1" w:styleId="ae">
    <w:name w:val="結語 字元"/>
    <w:basedOn w:val="a0"/>
    <w:link w:val="ad"/>
    <w:uiPriority w:val="99"/>
    <w:rsid w:val="00681A7F"/>
    <w:rPr>
      <w:rFonts w:ascii="Times New Roman" w:eastAsiaTheme="majorEastAsia" w:hAnsiTheme="maj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7678-817B-4C05-AFA0-311B447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246</Words>
  <Characters>1403</Characters>
  <Application>Microsoft Office Word</Application>
  <DocSecurity>0</DocSecurity>
  <Lines>11</Lines>
  <Paragraphs>3</Paragraphs>
  <ScaleCrop>false</ScaleCrop>
  <Company>User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2013-04-24T01:22:00Z</dcterms:created>
  <dcterms:modified xsi:type="dcterms:W3CDTF">2014-05-08T03:00:00Z</dcterms:modified>
</cp:coreProperties>
</file>